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69D3" w14:textId="0D52970B" w:rsidR="0063414F" w:rsidRPr="00A2205A" w:rsidRDefault="0063414F" w:rsidP="00A2205A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b</w:t>
      </w: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A2205A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Zpřístupnění účastnického vedení a jeho </w:t>
      </w:r>
      <w:proofErr w:type="gramStart"/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úseku,  t</w:t>
      </w:r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echnická</w:t>
      </w:r>
      <w:proofErr w:type="gramEnd"/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specifikace a specifikace služby</w:t>
      </w:r>
    </w:p>
    <w:p w14:paraId="65F5A7AE" w14:textId="77777777" w:rsidR="00FE4E7B" w:rsidRPr="00A2205A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1C2EAADC" w14:textId="50077665" w:rsidR="00507357" w:rsidRPr="00A2205A" w:rsidRDefault="003C3470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Číslo </w:t>
      </w:r>
      <w:proofErr w:type="gramStart"/>
      <w:r w:rsidRPr="00A2205A">
        <w:rPr>
          <w:rFonts w:ascii="Calibri" w:hAnsi="Calibri" w:cs="Calibri"/>
          <w:sz w:val="22"/>
          <w:szCs w:val="22"/>
        </w:rPr>
        <w:t>Služby :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     </w:t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Pr="00A2205A">
        <w:rPr>
          <w:rFonts w:ascii="Calibri" w:hAnsi="Calibri" w:cs="Calibri"/>
          <w:sz w:val="22"/>
          <w:szCs w:val="22"/>
        </w:rPr>
        <w:t>……………....</w:t>
      </w:r>
      <w:r w:rsidR="00BE497B" w:rsidRPr="00A2205A">
        <w:rPr>
          <w:rFonts w:ascii="Calibri" w:hAnsi="Calibri" w:cs="Calibri"/>
          <w:sz w:val="22"/>
          <w:szCs w:val="22"/>
        </w:rPr>
        <w:t>...........</w:t>
      </w:r>
      <w:r w:rsidR="00BE497B"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="00BE497B" w:rsidRPr="00A2205A">
        <w:rPr>
          <w:rFonts w:ascii="Calibri" w:hAnsi="Calibri" w:cs="Calibri"/>
          <w:sz w:val="22"/>
          <w:szCs w:val="22"/>
        </w:rPr>
        <w:t>Obec (oblast) :</w:t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="00BE497B"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Jméno partnera :    </w:t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ID: Partnera : 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 xml:space="preserve">          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</w:t>
      </w:r>
      <w:r w:rsidR="00114C12" w:rsidRPr="00A2205A">
        <w:rPr>
          <w:rFonts w:ascii="Calibri" w:hAnsi="Calibri" w:cs="Calibri"/>
          <w:sz w:val="22"/>
          <w:szCs w:val="22"/>
        </w:rPr>
        <w:t>.</w:t>
      </w:r>
      <w:r w:rsidRPr="00A2205A">
        <w:rPr>
          <w:rFonts w:ascii="Calibri" w:hAnsi="Calibri" w:cs="Calibri"/>
          <w:sz w:val="22"/>
          <w:szCs w:val="22"/>
        </w:rPr>
        <w:t>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žádosti: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t>Datum zprovoznění služby</w:t>
      </w:r>
      <w:r w:rsidR="00F45BC3" w:rsidRPr="00A2205A">
        <w:rPr>
          <w:rFonts w:ascii="Calibri" w:hAnsi="Calibri" w:cs="Calibri"/>
          <w:sz w:val="22"/>
          <w:szCs w:val="22"/>
        </w:rPr>
        <w:t xml:space="preserve">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A2205A">
        <w:rPr>
          <w:rFonts w:ascii="Calibri" w:hAnsi="Calibri" w:cs="Calibri"/>
          <w:sz w:val="22"/>
          <w:szCs w:val="22"/>
        </w:rPr>
        <w:t>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</w:p>
    <w:p w14:paraId="455D7BEF" w14:textId="77777777" w:rsidR="00507357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685AA4" w14:textId="70533F0D" w:rsidR="00FE4E7B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Datum zakončení testovacího provozu: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>……………………………</w:t>
      </w:r>
      <w:r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předání Služby Partnerovi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proofErr w:type="gramStart"/>
      <w:r w:rsidR="00114C12" w:rsidRPr="00A2205A">
        <w:rPr>
          <w:rFonts w:ascii="Calibri" w:hAnsi="Calibri" w:cs="Calibri"/>
          <w:sz w:val="22"/>
          <w:szCs w:val="22"/>
        </w:rPr>
        <w:tab/>
        <w:t>….</w:t>
      </w:r>
      <w:proofErr w:type="gramEnd"/>
      <w:r w:rsidR="00114C12" w:rsidRPr="00A2205A">
        <w:rPr>
          <w:rFonts w:ascii="Calibri" w:hAnsi="Calibri" w:cs="Calibri"/>
          <w:sz w:val="22"/>
          <w:szCs w:val="22"/>
        </w:rPr>
        <w:t>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br/>
        <w:t>D</w:t>
      </w:r>
      <w:r w:rsidR="00F45BC3" w:rsidRPr="00A2205A">
        <w:rPr>
          <w:rFonts w:ascii="Calibri" w:hAnsi="Calibri" w:cs="Calibri"/>
          <w:sz w:val="22"/>
          <w:szCs w:val="22"/>
        </w:rPr>
        <w:t xml:space="preserve">atum ukončení Služby                    </w:t>
      </w:r>
      <w:r w:rsidR="00114C12" w:rsidRPr="00A2205A">
        <w:rPr>
          <w:rFonts w:ascii="Calibri" w:hAnsi="Calibri" w:cs="Calibri"/>
          <w:sz w:val="22"/>
          <w:szCs w:val="22"/>
        </w:rPr>
        <w:t xml:space="preserve">                         </w:t>
      </w:r>
      <w:r w:rsid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>…………………………….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</w:p>
    <w:p w14:paraId="7469FEBF" w14:textId="77777777" w:rsidR="001A2AA6" w:rsidRPr="00A2205A" w:rsidRDefault="009016E3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 </w:t>
      </w:r>
    </w:p>
    <w:p w14:paraId="215ED5EE" w14:textId="77777777" w:rsidR="008E7142" w:rsidRPr="00A2205A" w:rsidRDefault="008E7142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E41DEB5" w14:textId="77777777" w:rsidR="008E7142" w:rsidRPr="00A2205A" w:rsidRDefault="00363A11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Služba z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přístupnění účastnického vedení a jeho úseku 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B1A08F5" w14:textId="24CED807" w:rsidR="008E7142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A2205A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A2205A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soustřeďovacím bodem.</w:t>
      </w:r>
    </w:p>
    <w:p w14:paraId="50D64C43" w14:textId="08C0EFF0" w:rsidR="00406106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A2205A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A2205A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 účastnického vedení 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>specifikované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ho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 xml:space="preserve"> v této příloze</w:t>
      </w:r>
    </w:p>
    <w:p w14:paraId="48387517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8F0C986" w14:textId="77777777" w:rsidR="00ED067B" w:rsidRPr="00A2205A" w:rsidRDefault="00ED067B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A2205A" w14:paraId="49374E7D" w14:textId="77777777" w:rsidTr="00507357">
        <w:trPr>
          <w:trHeight w:val="249"/>
        </w:trPr>
        <w:tc>
          <w:tcPr>
            <w:tcW w:w="381" w:type="dxa"/>
          </w:tcPr>
          <w:p w14:paraId="086FEF2D" w14:textId="77777777" w:rsidR="00ED067B" w:rsidRPr="00A2205A" w:rsidRDefault="00ED067B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9CAF3A4" w14:textId="77777777" w:rsidR="00D261E5" w:rsidRPr="00A2205A" w:rsidRDefault="00ED067B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Zpřístupnění účastnického kovového vedení přístupové sítě </w:t>
      </w:r>
      <w:proofErr w:type="spellStart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Central</w:t>
      </w:r>
      <w:proofErr w:type="spellEnd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office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              </w:t>
      </w:r>
    </w:p>
    <w:p w14:paraId="29F1B970" w14:textId="7E594CA3" w:rsidR="00DB0597" w:rsidRPr="00A2205A" w:rsidRDefault="00781BE8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kovového vedení přístupové sítě je realizováno mezi hlavním rozvodem anebo obdobným zařízením, umístěným v demarkačním bodě 3 (</w:t>
      </w:r>
      <w:proofErr w:type="spellStart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koncovým bodem sítě tak, že vedení je překonfi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gurováno na vedení k zařízení Partnera.</w:t>
      </w:r>
      <w:r w:rsidR="00290DE3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063824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C320FC" w:rsidRPr="00A2205A">
        <w:rPr>
          <w:rStyle w:val="gmail-notranslate"/>
          <w:rFonts w:ascii="Calibri" w:hAnsi="Calibri" w:cs="Calibri"/>
          <w:sz w:val="22"/>
          <w:szCs w:val="22"/>
        </w:rPr>
        <w:t xml:space="preserve"> Partner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 přístup odpovídá za propojení z předávacího rozvodu do svého zařízení.</w:t>
      </w:r>
    </w:p>
    <w:p w14:paraId="3963D5E1" w14:textId="77777777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A2205A" w14:paraId="12035747" w14:textId="77777777" w:rsidTr="00507357">
        <w:trPr>
          <w:trHeight w:val="249"/>
        </w:trPr>
        <w:tc>
          <w:tcPr>
            <w:tcW w:w="381" w:type="dxa"/>
          </w:tcPr>
          <w:p w14:paraId="4610EA8F" w14:textId="77777777" w:rsidR="00704245" w:rsidRPr="00A2205A" w:rsidRDefault="00704245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3804C7" w14:textId="77777777" w:rsidR="00781BE8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kovového vedení přístupové sítě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rozvaděč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6CED01B4" w14:textId="2363FA25" w:rsidR="00AC6F12" w:rsidRDefault="00781BE8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lastRenderedPageBreak/>
        <w:br/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 xml:space="preserve">Zpřístupnění úseku účastnického kovového vedení přístupové sítě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je realizováno mezi koncovým bodem sítě a mezilehlým rozvaděčem v sít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i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, umístěným v soustřeďovacím bodě tak, že úsek vedení je překonfigurov</w:t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>án na vedení k zařízení Partnera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p w14:paraId="711C12CB" w14:textId="5B674236" w:rsidR="00704245" w:rsidRPr="00A2205A" w:rsidRDefault="00704245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5F0B4108" w14:textId="77777777" w:rsidTr="00D826D3">
        <w:trPr>
          <w:trHeight w:val="249"/>
        </w:trPr>
        <w:tc>
          <w:tcPr>
            <w:tcW w:w="381" w:type="dxa"/>
          </w:tcPr>
          <w:p w14:paraId="5D09E10B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DCAA82C" w14:textId="77777777" w:rsidR="00DB0597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72A278C6" w14:textId="77777777" w:rsidR="00704245" w:rsidRPr="00A2205A" w:rsidRDefault="00DF03B2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účastnického optického vedení přístupové sítě</w:t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> ODF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E002722" w14:textId="2E42456F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optického vedení přístupové sítě je realizováno mezi hlavním rozvodem, umístěným v demarkačním bodě 3 (</w:t>
      </w:r>
      <w:proofErr w:type="spellStart"/>
      <w:r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ukončeným v rozvaděči ODF, a koncovým bodem sítě (optická zásuvka v prostorách účastníka) tak, že vedení je překonfigurováno na vede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>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propojí účastnické optické vedení, které je tvořeno fyzickým optickým vláknem, do předávací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214311E2" w14:textId="77777777" w:rsidTr="00D826D3">
        <w:trPr>
          <w:trHeight w:val="249"/>
        </w:trPr>
        <w:tc>
          <w:tcPr>
            <w:tcW w:w="381" w:type="dxa"/>
          </w:tcPr>
          <w:p w14:paraId="46EA3013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11E1CC" w14:textId="77777777" w:rsidR="003C6046" w:rsidRPr="00A2205A" w:rsidRDefault="00DA5ABD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br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optického vedení přístupové sítě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mezilehlý rozvaděč</w:t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3A1008A8" w14:textId="77777777" w:rsidR="003C6046" w:rsidRPr="00A2205A" w:rsidRDefault="003C6046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428DBB1" w14:textId="3F6E8958" w:rsidR="003C3470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>án na vedení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úsek účastnického optického vedení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a Partnerem. 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14:paraId="7E80D3CA" w14:textId="77777777" w:rsidR="00D261E5" w:rsidRPr="00A2205A" w:rsidRDefault="000D190A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363A11" w:rsidRPr="00A2205A">
        <w:rPr>
          <w:rStyle w:val="gmail-notranslate"/>
          <w:rFonts w:ascii="Calibri" w:hAnsi="Calibri" w:cs="Calibri"/>
          <w:b/>
          <w:sz w:val="22"/>
          <w:szCs w:val="22"/>
        </w:rPr>
        <w:t>Přístup k účastnickému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F49D8F5" w14:textId="0E97BC87" w:rsidR="00943ECD" w:rsidRPr="00A2205A" w:rsidRDefault="00816E7E" w:rsidP="00A2205A">
      <w:pPr>
        <w:tabs>
          <w:tab w:val="left" w:pos="284"/>
        </w:tabs>
        <w:rPr>
          <w:rStyle w:val="gmail-notranslate"/>
          <w:rFonts w:ascii="Calibri" w:hAnsi="Calibri" w:cs="Calibri"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</w:t>
      </w:r>
      <w:proofErr w:type="spellStart"/>
      <w:proofErr w:type="gramStart"/>
      <w:r w:rsidRPr="00A2205A">
        <w:rPr>
          <w:rStyle w:val="gmail-notranslate"/>
          <w:rFonts w:ascii="Calibri" w:hAnsi="Calibri" w:cs="Calibri"/>
          <w:sz w:val="22"/>
          <w:szCs w:val="22"/>
        </w:rPr>
        <w:t>např.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rozvaděče</w:t>
      </w:r>
      <w:proofErr w:type="spellEnd"/>
      <w:proofErr w:type="gramEnd"/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lužbu uvedenou v této příloze je uvedený v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Článku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proofErr w:type="gramStart"/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VIII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a</w:t>
      </w:r>
      <w:proofErr w:type="gramEnd"/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Příloze 10- Síťová hierarchie, Orientační schéma, seznam obcí, úseků</w:t>
      </w:r>
      <w:r w:rsidR="00943ECD" w:rsidRPr="00A2205A">
        <w:rPr>
          <w:rStyle w:val="gmail-notranslate"/>
          <w:rFonts w:ascii="Calibri" w:hAnsi="Calibri" w:cs="Calibri"/>
          <w:sz w:val="22"/>
          <w:szCs w:val="22"/>
        </w:rPr>
        <w:br/>
      </w:r>
    </w:p>
    <w:p w14:paraId="3F14EA1F" w14:textId="77777777" w:rsidR="00943ECD" w:rsidRPr="00A2205A" w:rsidRDefault="00943ECD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20668D2B" w14:textId="77777777" w:rsidR="00943ECD" w:rsidRPr="00A2205A" w:rsidRDefault="00BF55B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>Článek III</w:t>
      </w:r>
    </w:p>
    <w:p w14:paraId="19425F4C" w14:textId="77777777" w:rsidR="00943ECD" w:rsidRPr="00A2205A" w:rsidRDefault="00943ECD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Převzetí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24EB4B0" w14:textId="6E284C6D" w:rsidR="00943ECD" w:rsidRPr="00A2205A" w:rsidRDefault="00943ECD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D826D3" w:rsidRPr="00A2205A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A2205A">
        <w:rPr>
          <w:rFonts w:ascii="Calibri" w:hAnsi="Calibri" w:cs="Calibri"/>
          <w:sz w:val="22"/>
          <w:szCs w:val="22"/>
        </w:rPr>
        <w:t xml:space="preserve">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407681C1" w14:textId="4B6D44AE" w:rsidR="008E44F8" w:rsidRPr="00A2205A" w:rsidRDefault="00363A11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I</w:t>
      </w:r>
      <w:r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8E44F8" w:rsidRPr="00A2205A">
        <w:rPr>
          <w:rFonts w:ascii="Calibri" w:hAnsi="Calibri" w:cs="Calibri"/>
          <w:b/>
          <w:sz w:val="22"/>
          <w:szCs w:val="22"/>
        </w:rPr>
        <w:t xml:space="preserve">Užívání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</w:p>
    <w:p w14:paraId="1D5C9D56" w14:textId="0C96120D" w:rsidR="00755BC3" w:rsidRPr="00A2205A" w:rsidRDefault="004B6782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A2205A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A2205A">
        <w:rPr>
          <w:rFonts w:ascii="Calibri" w:hAnsi="Calibri" w:cs="Calibri"/>
          <w:sz w:val="22"/>
          <w:szCs w:val="22"/>
        </w:rPr>
        <w:t xml:space="preserve">užívat pouze pro účely související s jeho obchodní </w:t>
      </w:r>
      <w:r w:rsidRPr="00A2205A">
        <w:rPr>
          <w:rFonts w:ascii="Calibri" w:hAnsi="Calibri" w:cs="Calibri"/>
          <w:sz w:val="22"/>
          <w:szCs w:val="22"/>
        </w:rPr>
        <w:lastRenderedPageBreak/>
        <w:t>činností v souladu s uzavřenou Smlouvou.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050CA604" w14:textId="77777777" w:rsidR="00AC50CE" w:rsidRPr="00A2205A" w:rsidRDefault="00AC50CE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4B6782" w:rsidRPr="00A2205A">
        <w:rPr>
          <w:rFonts w:ascii="Calibri" w:hAnsi="Calibri" w:cs="Calibri"/>
          <w:b/>
          <w:sz w:val="22"/>
          <w:szCs w:val="22"/>
        </w:rPr>
        <w:t>Ostatní závazky</w:t>
      </w:r>
      <w:r w:rsidR="00EB1F27" w:rsidRPr="00A2205A">
        <w:rPr>
          <w:rFonts w:ascii="Calibri" w:hAnsi="Calibri" w:cs="Calibri"/>
          <w:b/>
          <w:sz w:val="22"/>
          <w:szCs w:val="22"/>
        </w:rPr>
        <w:br/>
      </w:r>
    </w:p>
    <w:p w14:paraId="5A936813" w14:textId="77777777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0D190A" w:rsidRPr="00A2205A">
        <w:rPr>
          <w:rFonts w:ascii="Calibri" w:hAnsi="Calibri" w:cs="Calibri"/>
          <w:sz w:val="22"/>
          <w:szCs w:val="22"/>
        </w:rPr>
        <w:t xml:space="preserve"> se zavazuje</w:t>
      </w:r>
      <w:r w:rsidR="001641CA" w:rsidRPr="00A2205A">
        <w:rPr>
          <w:rFonts w:ascii="Calibri" w:hAnsi="Calibri" w:cs="Calibri"/>
          <w:sz w:val="22"/>
          <w:szCs w:val="22"/>
        </w:rPr>
        <w:t>,</w:t>
      </w:r>
      <w:r w:rsidR="000D190A" w:rsidRPr="00A2205A">
        <w:rPr>
          <w:rFonts w:ascii="Calibri" w:hAnsi="Calibri" w:cs="Calibri"/>
          <w:sz w:val="22"/>
          <w:szCs w:val="22"/>
        </w:rPr>
        <w:t xml:space="preserve"> že</w:t>
      </w:r>
      <w:r w:rsidR="001641CA" w:rsidRPr="00A2205A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A2205A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A2205A">
        <w:rPr>
          <w:rFonts w:ascii="Calibri" w:hAnsi="Calibri" w:cs="Calibri"/>
          <w:sz w:val="22"/>
          <w:szCs w:val="22"/>
        </w:rPr>
        <w:t>v přiměřeném rozsahu</w:t>
      </w:r>
      <w:r w:rsidR="00D22570" w:rsidRPr="00A2205A">
        <w:rPr>
          <w:rFonts w:ascii="Calibri" w:hAnsi="Calibri" w:cs="Calibri"/>
          <w:sz w:val="22"/>
          <w:szCs w:val="22"/>
        </w:rPr>
        <w:t xml:space="preserve"> </w:t>
      </w:r>
      <w:r w:rsidR="00776F6C" w:rsidRPr="00AC6F12">
        <w:rPr>
          <w:rFonts w:ascii="Calibri" w:hAnsi="Calibri" w:cs="Calibri"/>
          <w:sz w:val="22"/>
          <w:szCs w:val="22"/>
        </w:rPr>
        <w:t>virtuální účastnické</w:t>
      </w:r>
      <w:r w:rsidR="00E300B1" w:rsidRPr="00AC6F12">
        <w:rPr>
          <w:rFonts w:ascii="Calibri" w:hAnsi="Calibri" w:cs="Calibri"/>
          <w:sz w:val="22"/>
          <w:szCs w:val="22"/>
        </w:rPr>
        <w:t xml:space="preserve"> vedení,</w:t>
      </w:r>
      <w:r w:rsidR="00776F6C" w:rsidRPr="00AC6F12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AC6F12">
        <w:rPr>
          <w:rFonts w:ascii="Calibri" w:hAnsi="Calibri" w:cs="Calibri"/>
          <w:sz w:val="22"/>
          <w:szCs w:val="22"/>
        </w:rPr>
        <w:t>optické vlákno/vlákn</w:t>
      </w:r>
      <w:r w:rsidR="000D190A" w:rsidRPr="00AC6F12">
        <w:rPr>
          <w:rFonts w:ascii="Calibri" w:hAnsi="Calibri" w:cs="Calibri"/>
          <w:sz w:val="22"/>
          <w:szCs w:val="22"/>
        </w:rPr>
        <w:t>a</w:t>
      </w:r>
      <w:r w:rsidR="00D22570" w:rsidRPr="00AC6F12">
        <w:rPr>
          <w:rFonts w:ascii="Calibri" w:hAnsi="Calibri" w:cs="Calibri"/>
          <w:sz w:val="22"/>
          <w:szCs w:val="22"/>
        </w:rPr>
        <w:t>, HDPE trubičky (</w:t>
      </w:r>
      <w:proofErr w:type="spellStart"/>
      <w:r w:rsidR="00D22570" w:rsidRPr="00AC6F12">
        <w:rPr>
          <w:rFonts w:ascii="Calibri" w:hAnsi="Calibri" w:cs="Calibri"/>
          <w:sz w:val="22"/>
          <w:szCs w:val="22"/>
        </w:rPr>
        <w:t>mikrotrubičky</w:t>
      </w:r>
      <w:proofErr w:type="spellEnd"/>
      <w:r w:rsidR="00D22570" w:rsidRPr="00AC6F12">
        <w:rPr>
          <w:rFonts w:ascii="Calibri" w:hAnsi="Calibri" w:cs="Calibri"/>
          <w:sz w:val="22"/>
          <w:szCs w:val="22"/>
        </w:rPr>
        <w:t xml:space="preserve">) a HDPE trubky </w:t>
      </w:r>
      <w:r w:rsidR="00816E7E" w:rsidRPr="00AC6F12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central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>).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AC6F12">
        <w:rPr>
          <w:rFonts w:ascii="Calibri" w:hAnsi="Calibri" w:cs="Calibri"/>
          <w:sz w:val="22"/>
          <w:szCs w:val="22"/>
        </w:rPr>
        <w:t>Zlín Net</w:t>
      </w:r>
      <w:r w:rsidR="000D190A" w:rsidRPr="00AC6F12">
        <w:rPr>
          <w:rFonts w:ascii="Calibri" w:hAnsi="Calibri" w:cs="Calibri"/>
          <w:sz w:val="22"/>
          <w:szCs w:val="22"/>
        </w:rPr>
        <w:t xml:space="preserve"> pronajme</w:t>
      </w:r>
      <w:r w:rsidR="00816E7E" w:rsidRPr="00AC6F12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AC6F12">
        <w:rPr>
          <w:rFonts w:ascii="Calibri" w:hAnsi="Calibri" w:cs="Calibri"/>
          <w:sz w:val="22"/>
          <w:szCs w:val="22"/>
        </w:rPr>
        <w:t>lákno, pokud bude k dispozici.</w:t>
      </w:r>
    </w:p>
    <w:p w14:paraId="51499CA7" w14:textId="640C89A6" w:rsidR="00EB1F27" w:rsidRPr="00AC6F12" w:rsidRDefault="00EB1F27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32A68EC" w14:textId="5BD3F000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1641CA" w:rsidRPr="00A2205A">
        <w:rPr>
          <w:rFonts w:ascii="Calibri" w:hAnsi="Calibri" w:cs="Calibri"/>
          <w:sz w:val="22"/>
          <w:szCs w:val="22"/>
        </w:rPr>
        <w:t xml:space="preserve"> se zava</w:t>
      </w:r>
      <w:r w:rsidR="003929D8" w:rsidRPr="00A2205A">
        <w:rPr>
          <w:rFonts w:ascii="Calibri" w:hAnsi="Calibri" w:cs="Calibri"/>
          <w:sz w:val="22"/>
          <w:szCs w:val="22"/>
        </w:rPr>
        <w:t>z</w:t>
      </w:r>
      <w:r w:rsidR="001641CA" w:rsidRPr="00A2205A">
        <w:rPr>
          <w:rFonts w:ascii="Calibri" w:hAnsi="Calibri" w:cs="Calibri"/>
          <w:sz w:val="22"/>
          <w:szCs w:val="22"/>
        </w:rPr>
        <w:t xml:space="preserve">uje, </w:t>
      </w:r>
      <w:r w:rsidR="003929D8" w:rsidRPr="00A2205A">
        <w:rPr>
          <w:rFonts w:ascii="Calibri" w:hAnsi="Calibri" w:cs="Calibri"/>
          <w:sz w:val="22"/>
          <w:szCs w:val="22"/>
        </w:rPr>
        <w:t>v</w:t>
      </w:r>
      <w:r w:rsidR="000D190A" w:rsidRPr="00A2205A">
        <w:rPr>
          <w:rFonts w:ascii="Calibri" w:hAnsi="Calibri" w:cs="Calibri"/>
          <w:sz w:val="22"/>
          <w:szCs w:val="22"/>
        </w:rPr>
        <w:t xml:space="preserve"> případě </w:t>
      </w:r>
      <w:r w:rsidR="00816E7E" w:rsidRPr="00A2205A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A2205A">
        <w:rPr>
          <w:rFonts w:ascii="Calibri" w:hAnsi="Calibri" w:cs="Calibri"/>
          <w:sz w:val="22"/>
          <w:szCs w:val="22"/>
        </w:rPr>
        <w:t>žitím poskytnuté dotace</w:t>
      </w:r>
      <w:r w:rsidR="000D190A" w:rsidRPr="00A2205A">
        <w:rPr>
          <w:rFonts w:ascii="Calibri" w:hAnsi="Calibri" w:cs="Calibri"/>
          <w:sz w:val="22"/>
          <w:szCs w:val="22"/>
        </w:rPr>
        <w:t xml:space="preserve"> umístit</w:t>
      </w:r>
      <w:r w:rsidR="003929D8" w:rsidRPr="00A2205A">
        <w:rPr>
          <w:rFonts w:ascii="Calibri" w:hAnsi="Calibri" w:cs="Calibri"/>
          <w:sz w:val="22"/>
          <w:szCs w:val="22"/>
        </w:rPr>
        <w:t xml:space="preserve"> </w:t>
      </w:r>
      <w:r w:rsidR="00816E7E" w:rsidRPr="00A2205A">
        <w:rPr>
          <w:rFonts w:ascii="Calibri" w:hAnsi="Calibri" w:cs="Calibri"/>
          <w:sz w:val="22"/>
          <w:szCs w:val="22"/>
        </w:rPr>
        <w:t>svá zařízení</w:t>
      </w:r>
      <w:r w:rsidR="000D190A" w:rsidRPr="00A2205A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A2205A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0D190A" w:rsidRPr="00A2205A">
        <w:rPr>
          <w:rFonts w:ascii="Calibri" w:hAnsi="Calibri" w:cs="Calibri"/>
          <w:sz w:val="22"/>
          <w:szCs w:val="22"/>
        </w:rPr>
        <w:t>a</w:t>
      </w:r>
      <w:r w:rsidR="00816E7E" w:rsidRPr="00A2205A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816E7E" w:rsidRPr="00A2205A">
        <w:rPr>
          <w:rFonts w:ascii="Calibri" w:hAnsi="Calibri" w:cs="Calibri"/>
          <w:sz w:val="22"/>
          <w:szCs w:val="22"/>
        </w:rPr>
        <w:t>e</w:t>
      </w:r>
      <w:r w:rsidR="005B2287" w:rsidRPr="00A2205A">
        <w:rPr>
          <w:rFonts w:ascii="Calibri" w:hAnsi="Calibri" w:cs="Calibri"/>
          <w:sz w:val="22"/>
          <w:szCs w:val="22"/>
        </w:rPr>
        <w:t>m</w:t>
      </w:r>
      <w:r w:rsidR="00816E7E" w:rsidRPr="00A2205A">
        <w:rPr>
          <w:rFonts w:ascii="Calibri" w:hAnsi="Calibri" w:cs="Calibri"/>
          <w:sz w:val="22"/>
          <w:szCs w:val="22"/>
        </w:rPr>
        <w:t xml:space="preserve"> účelově bránit.</w:t>
      </w:r>
      <w:r w:rsidR="005B2287" w:rsidRPr="00A2205A">
        <w:rPr>
          <w:rFonts w:ascii="Calibri" w:hAnsi="Calibri" w:cs="Calibri"/>
          <w:sz w:val="22"/>
          <w:szCs w:val="22"/>
        </w:rPr>
        <w:t xml:space="preserve"> </w:t>
      </w:r>
    </w:p>
    <w:p w14:paraId="100B8B29" w14:textId="25D6AF0B" w:rsidR="00F4008F" w:rsidRPr="00A2205A" w:rsidRDefault="00F4008F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E66B3A" w14:textId="796E85B9" w:rsidR="00F4008F" w:rsidRPr="00A2205A" w:rsidRDefault="00274584" w:rsidP="00A2205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F4008F" w:rsidRPr="00A2205A">
        <w:rPr>
          <w:rFonts w:ascii="Calibri" w:hAnsi="Calibri" w:cs="Calibri"/>
          <w:sz w:val="22"/>
          <w:szCs w:val="22"/>
        </w:rPr>
        <w:t xml:space="preserve"> se zavazuje umožnit Partnerovi, pro využití Služby v nezbytném rozsahu rovněž související službu kolokace</w:t>
      </w:r>
    </w:p>
    <w:p w14:paraId="13AC66EA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7F4E67D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693B2E30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E67CD0B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F31DE2A" w14:textId="200CF608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bude od předání </w:t>
      </w:r>
      <w:r w:rsidR="00BF55B5" w:rsidRPr="00A2205A">
        <w:rPr>
          <w:rFonts w:ascii="Calibri" w:hAnsi="Calibri" w:cs="Calibri"/>
          <w:sz w:val="22"/>
          <w:szCs w:val="22"/>
        </w:rPr>
        <w:t xml:space="preserve">Užívání účastnického vedení a jeho úseku </w:t>
      </w:r>
      <w:r w:rsidR="004C7195" w:rsidRPr="00A2205A">
        <w:rPr>
          <w:rFonts w:ascii="Calibri" w:hAnsi="Calibri" w:cs="Calibri"/>
          <w:sz w:val="22"/>
          <w:szCs w:val="22"/>
        </w:rPr>
        <w:t>zajišťovat na vlastní náklady údržbu tak, aby Pasivní infrastruktura po celou Dobu užívání byla plně funkční a odpovídala Specifikacím.</w:t>
      </w:r>
    </w:p>
    <w:p w14:paraId="0724A975" w14:textId="77777777" w:rsidR="004C7195" w:rsidRPr="00A2205A" w:rsidRDefault="004C7195" w:rsidP="00A2205A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</w:p>
    <w:p w14:paraId="2485A9D3" w14:textId="00D5FB56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1911A1" w:rsidRPr="00A2205A">
        <w:rPr>
          <w:rFonts w:ascii="Calibri" w:hAnsi="Calibri" w:cs="Calibri"/>
          <w:sz w:val="22"/>
          <w:szCs w:val="22"/>
        </w:rPr>
        <w:t>jícím jejich nepřetržitý provoz.</w:t>
      </w:r>
      <w:r w:rsidR="004C7195" w:rsidRPr="00A2205A">
        <w:rPr>
          <w:rFonts w:ascii="Calibri" w:hAnsi="Calibri" w:cs="Calibri"/>
          <w:sz w:val="22"/>
          <w:szCs w:val="22"/>
        </w:rPr>
        <w:t xml:space="preserve"> </w:t>
      </w:r>
      <w:r w:rsidR="001911A1" w:rsidRPr="00A2205A">
        <w:rPr>
          <w:rFonts w:ascii="Calibri" w:hAnsi="Calibri" w:cs="Calibri"/>
          <w:sz w:val="22"/>
          <w:szCs w:val="22"/>
        </w:rPr>
        <w:t>Servisní zásahy se řídí Smlouvou a Přílohou č. 3 - Pravidla a postupy pro jednotlivé služby.</w:t>
      </w:r>
    </w:p>
    <w:p w14:paraId="540733CD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335B0F33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4762D531" w14:textId="77777777" w:rsidR="004C7195" w:rsidRPr="00A2205A" w:rsidRDefault="000D190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599A573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  <w:r w:rsidR="00191FD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474A9BED" w14:textId="77777777" w:rsidR="00AC6F12" w:rsidRDefault="00274584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v Příloze č. 4</w:t>
      </w:r>
      <w:r w:rsidR="0028368F" w:rsidRPr="00A2205A">
        <w:rPr>
          <w:rStyle w:val="OdstavecseseznamemChar"/>
          <w:rFonts w:ascii="Calibri" w:hAnsi="Calibri" w:cs="Calibri"/>
          <w:sz w:val="22"/>
          <w:szCs w:val="22"/>
        </w:rPr>
        <w:t xml:space="preserve"> – Minimální soubor SLA 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>Smlouvy.</w:t>
      </w:r>
    </w:p>
    <w:p w14:paraId="626CEECA" w14:textId="144CAA64" w:rsidR="006A57EA" w:rsidRPr="00A2205A" w:rsidRDefault="006A57EA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</w:p>
    <w:p w14:paraId="34E2303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44CC19A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043B08C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2E82C35" w14:textId="7FABFDF8" w:rsidR="00F4008F" w:rsidRPr="00AC6F12" w:rsidRDefault="005F6FF6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lastRenderedPageBreak/>
        <w:br/>
      </w:r>
      <w:r w:rsidR="006A57EA" w:rsidRPr="00A2205A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0FF4C05A" w14:textId="67CDAE76" w:rsidR="00F4008F" w:rsidRPr="00A2205A" w:rsidRDefault="00F4008F" w:rsidP="00A2205A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Přesné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umístění</w:t>
      </w:r>
      <w:r w:rsidRPr="00A2205A">
        <w:rPr>
          <w:rFonts w:ascii="Calibri" w:hAnsi="Calibri" w:cs="Calibri"/>
          <w:sz w:val="22"/>
          <w:szCs w:val="22"/>
        </w:rPr>
        <w:t xml:space="preserve"> přístupových bodů 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 xml:space="preserve">GPS:   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……………………………………...........................</w:t>
      </w:r>
    </w:p>
    <w:p w14:paraId="3B840108" w14:textId="58AAC6B9" w:rsidR="00F4008F" w:rsidRPr="00A2205A" w:rsidRDefault="00F4008F" w:rsidP="00A2205A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>Adresa:  …</w:t>
      </w:r>
      <w:proofErr w:type="gramEnd"/>
      <w:r w:rsidRPr="00A2205A">
        <w:rPr>
          <w:rFonts w:ascii="Calibri" w:hAnsi="Calibri" w:cs="Calibri"/>
          <w:sz w:val="22"/>
          <w:szCs w:val="22"/>
        </w:rPr>
        <w:t>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        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52285C8F" w14:textId="43A45470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173ACD1" w14:textId="764ADBF5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Síťová hierarchie přístupu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DB9CA14" w14:textId="2A96899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263E8B8E" w14:textId="6C292C49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Zakreslená datová trasa:</w:t>
      </w:r>
    </w:p>
    <w:p w14:paraId="487C8E24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6D65E6D3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9550E22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</w:p>
    <w:p w14:paraId="4F0C1454" w14:textId="7777777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Délka trasy v </w:t>
      </w:r>
      <w:proofErr w:type="gramStart"/>
      <w:r w:rsidRPr="00A2205A">
        <w:rPr>
          <w:rFonts w:ascii="Calibri" w:hAnsi="Calibri" w:cs="Calibri"/>
          <w:sz w:val="22"/>
          <w:szCs w:val="22"/>
        </w:rPr>
        <w:t>m :</w:t>
      </w:r>
      <w:proofErr w:type="gramEnd"/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3B28B495" w14:textId="0294E2D6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za </w:t>
      </w:r>
      <w:r w:rsidR="00274584" w:rsidRPr="00A2205A">
        <w:rPr>
          <w:rFonts w:ascii="Calibri" w:hAnsi="Calibri" w:cs="Calibri"/>
          <w:sz w:val="22"/>
          <w:szCs w:val="22"/>
        </w:rPr>
        <w:t>Zlín Net, a.s.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Pr="00A2205A">
        <w:rPr>
          <w:rFonts w:ascii="Calibri" w:hAnsi="Calibri" w:cs="Calibri"/>
          <w:sz w:val="22"/>
          <w:szCs w:val="22"/>
        </w:rPr>
        <w:tab/>
        <w:t>za Partnera: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23A48109" w14:textId="77777777" w:rsidR="00F4008F" w:rsidRPr="00A2205A" w:rsidRDefault="00F4008F" w:rsidP="00A2205A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sectPr w:rsidR="00F4008F" w:rsidRPr="00A2205A" w:rsidSect="00667EBF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3E7F" w14:textId="77777777" w:rsidR="00297147" w:rsidRDefault="00297147" w:rsidP="0063414F">
      <w:r>
        <w:separator/>
      </w:r>
    </w:p>
  </w:endnote>
  <w:endnote w:type="continuationSeparator" w:id="0">
    <w:p w14:paraId="145A3F90" w14:textId="77777777" w:rsidR="00297147" w:rsidRDefault="00297147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25057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14:paraId="7600D95E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C12919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14:paraId="199FDB18" w14:textId="77777777" w:rsidR="00ED2E40" w:rsidRDefault="0000000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14:paraId="24A4E995" w14:textId="77777777" w:rsidR="00ED2E40" w:rsidRDefault="00ED2E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3141" w14:textId="77777777" w:rsidR="00297147" w:rsidRDefault="00297147" w:rsidP="0063414F">
      <w:r>
        <w:separator/>
      </w:r>
    </w:p>
  </w:footnote>
  <w:footnote w:type="continuationSeparator" w:id="0">
    <w:p w14:paraId="1790CF7E" w14:textId="77777777" w:rsidR="00297147" w:rsidRDefault="00297147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177C" w14:textId="77777777" w:rsidR="000F1CE9" w:rsidRDefault="00297147">
    <w:pPr>
      <w:pStyle w:val="Zhlav"/>
    </w:pPr>
    <w:r>
      <w:rPr>
        <w:noProof/>
      </w:rPr>
      <w:pict w14:anchorId="21DC47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7049" w14:textId="148564CD" w:rsidR="00ED2E40" w:rsidRPr="00A2205A" w:rsidRDefault="00FB5C2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A2205A">
      <w:rPr>
        <w:rFonts w:ascii="Calibri" w:hAnsi="Calibri" w:cs="Calibri"/>
        <w:sz w:val="22"/>
        <w:szCs w:val="22"/>
      </w:rPr>
      <w:t>Příloha č. 1b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Pr="00A2205A">
      <w:rPr>
        <w:rFonts w:ascii="Calibri" w:hAnsi="Calibri" w:cs="Calibri"/>
        <w:sz w:val="22"/>
        <w:szCs w:val="22"/>
      </w:rPr>
      <w:t>–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="00312F4A" w:rsidRPr="00A2205A">
      <w:rPr>
        <w:rFonts w:ascii="Calibri" w:hAnsi="Calibri" w:cs="Calibri"/>
        <w:sz w:val="22"/>
        <w:szCs w:val="22"/>
      </w:rPr>
      <w:t>Zpřístupnění účastnického vedení a jeho úseku, technická specifikace a specifikace služby</w:t>
    </w:r>
  </w:p>
  <w:p w14:paraId="66DCA60A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FC24" w14:textId="77777777" w:rsidR="000F1CE9" w:rsidRDefault="00297147">
    <w:pPr>
      <w:pStyle w:val="Zhlav"/>
    </w:pPr>
    <w:r>
      <w:rPr>
        <w:noProof/>
      </w:rPr>
      <w:pict w14:anchorId="34D114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66388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701983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4747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1129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1101330">
    <w:abstractNumId w:val="18"/>
  </w:num>
  <w:num w:numId="6" w16cid:durableId="2012291232">
    <w:abstractNumId w:val="36"/>
  </w:num>
  <w:num w:numId="7" w16cid:durableId="57320016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941640">
    <w:abstractNumId w:val="13"/>
  </w:num>
  <w:num w:numId="9" w16cid:durableId="777482886">
    <w:abstractNumId w:val="17"/>
  </w:num>
  <w:num w:numId="10" w16cid:durableId="1941595679">
    <w:abstractNumId w:val="9"/>
  </w:num>
  <w:num w:numId="11" w16cid:durableId="97721267">
    <w:abstractNumId w:val="6"/>
  </w:num>
  <w:num w:numId="12" w16cid:durableId="1143039908">
    <w:abstractNumId w:val="8"/>
  </w:num>
  <w:num w:numId="13" w16cid:durableId="1637876003">
    <w:abstractNumId w:val="34"/>
  </w:num>
  <w:num w:numId="14" w16cid:durableId="45834063">
    <w:abstractNumId w:val="11"/>
  </w:num>
  <w:num w:numId="15" w16cid:durableId="1490171605">
    <w:abstractNumId w:val="35"/>
  </w:num>
  <w:num w:numId="16" w16cid:durableId="853886624">
    <w:abstractNumId w:val="2"/>
  </w:num>
  <w:num w:numId="17" w16cid:durableId="1476070219">
    <w:abstractNumId w:val="16"/>
  </w:num>
  <w:num w:numId="18" w16cid:durableId="277030220">
    <w:abstractNumId w:val="26"/>
  </w:num>
  <w:num w:numId="19" w16cid:durableId="286467790">
    <w:abstractNumId w:val="12"/>
  </w:num>
  <w:num w:numId="20" w16cid:durableId="473106542">
    <w:abstractNumId w:val="28"/>
  </w:num>
  <w:num w:numId="21" w16cid:durableId="1278752503">
    <w:abstractNumId w:val="4"/>
  </w:num>
  <w:num w:numId="22" w16cid:durableId="1995639932">
    <w:abstractNumId w:val="3"/>
  </w:num>
  <w:num w:numId="23" w16cid:durableId="867986263">
    <w:abstractNumId w:val="27"/>
  </w:num>
  <w:num w:numId="24" w16cid:durableId="1969973613">
    <w:abstractNumId w:val="37"/>
  </w:num>
  <w:num w:numId="25" w16cid:durableId="328336238">
    <w:abstractNumId w:val="22"/>
  </w:num>
  <w:num w:numId="26" w16cid:durableId="2075656885">
    <w:abstractNumId w:val="30"/>
  </w:num>
  <w:num w:numId="27" w16cid:durableId="1177504274">
    <w:abstractNumId w:val="23"/>
  </w:num>
  <w:num w:numId="28" w16cid:durableId="854466059">
    <w:abstractNumId w:val="14"/>
  </w:num>
  <w:num w:numId="29" w16cid:durableId="998310900">
    <w:abstractNumId w:val="29"/>
  </w:num>
  <w:num w:numId="30" w16cid:durableId="847791450">
    <w:abstractNumId w:val="1"/>
  </w:num>
  <w:num w:numId="31" w16cid:durableId="233518494">
    <w:abstractNumId w:val="32"/>
  </w:num>
  <w:num w:numId="32" w16cid:durableId="778841820">
    <w:abstractNumId w:val="31"/>
  </w:num>
  <w:num w:numId="33" w16cid:durableId="818159200">
    <w:abstractNumId w:val="21"/>
  </w:num>
  <w:num w:numId="34" w16cid:durableId="958417205">
    <w:abstractNumId w:val="20"/>
  </w:num>
  <w:num w:numId="35" w16cid:durableId="884028882">
    <w:abstractNumId w:val="7"/>
  </w:num>
  <w:num w:numId="36" w16cid:durableId="1468625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1057716">
    <w:abstractNumId w:val="15"/>
  </w:num>
  <w:num w:numId="38" w16cid:durableId="1802920800">
    <w:abstractNumId w:val="25"/>
  </w:num>
  <w:num w:numId="39" w16cid:durableId="1322391087">
    <w:abstractNumId w:val="0"/>
  </w:num>
  <w:num w:numId="40" w16cid:durableId="34082713">
    <w:abstractNumId w:val="19"/>
  </w:num>
  <w:num w:numId="41" w16cid:durableId="693313389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4584"/>
    <w:rsid w:val="00277705"/>
    <w:rsid w:val="0028368F"/>
    <w:rsid w:val="00290DE3"/>
    <w:rsid w:val="00290E8C"/>
    <w:rsid w:val="00291B53"/>
    <w:rsid w:val="00297147"/>
    <w:rsid w:val="002C618D"/>
    <w:rsid w:val="00312F4A"/>
    <w:rsid w:val="003223A5"/>
    <w:rsid w:val="003467BE"/>
    <w:rsid w:val="00363A11"/>
    <w:rsid w:val="003710DB"/>
    <w:rsid w:val="0038250F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64E1B"/>
    <w:rsid w:val="00776F6C"/>
    <w:rsid w:val="00781BE8"/>
    <w:rsid w:val="00790DAF"/>
    <w:rsid w:val="007A72A4"/>
    <w:rsid w:val="007C3949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05A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C6F12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648EC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4" ma:contentTypeDescription="Vytvoří nový dokument" ma:contentTypeScope="" ma:versionID="028b532f3a17a59f49ce86eda1d559d6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60a3ff3184fc012aed7294242979e597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B64FA7-3B32-4628-954D-6D4BD1CE16DE}"/>
</file>

<file path=customXml/itemProps4.xml><?xml version="1.0" encoding="utf-8"?>
<ds:datastoreItem xmlns:ds="http://schemas.openxmlformats.org/officeDocument/2006/customXml" ds:itemID="{BE1DC8C5-0164-4CE0-B27B-E2970A14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996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5</cp:revision>
  <dcterms:created xsi:type="dcterms:W3CDTF">2022-06-26T08:35:00Z</dcterms:created>
  <dcterms:modified xsi:type="dcterms:W3CDTF">2023-03-30T17:34:00Z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